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1A2" w14:textId="33126163" w:rsidR="00C470D3" w:rsidRDefault="00082075" w:rsidP="00FE32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-567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32EE78F" wp14:editId="0ADB6ED2">
            <wp:extent cx="1447800" cy="925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206" cy="9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148" w:rsidRPr="00BA2148">
        <w:rPr>
          <w:noProof/>
        </w:rPr>
        <w:drawing>
          <wp:anchor distT="0" distB="0" distL="114300" distR="114300" simplePos="0" relativeHeight="251659264" behindDoc="0" locked="0" layoutInCell="1" allowOverlap="1" wp14:anchorId="2C6390F4" wp14:editId="6867F3A4">
            <wp:simplePos x="0" y="0"/>
            <wp:positionH relativeFrom="column">
              <wp:posOffset>2095046</wp:posOffset>
            </wp:positionH>
            <wp:positionV relativeFrom="paragraph">
              <wp:posOffset>197485</wp:posOffset>
            </wp:positionV>
            <wp:extent cx="1659890" cy="516890"/>
            <wp:effectExtent l="0" t="0" r="0" b="0"/>
            <wp:wrapSquare wrapText="bothSides" distT="0" distB="0" distL="114300" distR="114300"/>
            <wp:docPr id="58" name="image2.png" descr="UKRI+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KRI+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1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148" w:rsidRPr="00BA2148">
        <w:rPr>
          <w:noProof/>
        </w:rPr>
        <w:drawing>
          <wp:anchor distT="0" distB="0" distL="114300" distR="114300" simplePos="0" relativeHeight="251660288" behindDoc="0" locked="0" layoutInCell="1" allowOverlap="1" wp14:anchorId="1D1154F2" wp14:editId="7473F232">
            <wp:simplePos x="0" y="0"/>
            <wp:positionH relativeFrom="column">
              <wp:posOffset>4533900</wp:posOffset>
            </wp:positionH>
            <wp:positionV relativeFrom="paragraph">
              <wp:posOffset>6985</wp:posOffset>
            </wp:positionV>
            <wp:extent cx="1447800" cy="838200"/>
            <wp:effectExtent l="0" t="0" r="0" b="0"/>
            <wp:wrapSquare wrapText="bothSides" distT="0" distB="0" distL="114300" distR="114300"/>
            <wp:docPr id="50" name="image6.png" descr="Logo---Industrial-Strategy-HM-Govern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---Industrial-Strategy-HM-Government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9"/>
        <w:tblW w:w="97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460"/>
        <w:gridCol w:w="2445"/>
      </w:tblGrid>
      <w:tr w:rsidR="00C470D3" w14:paraId="75FC6BD5" w14:textId="77777777" w:rsidTr="00FE32EF">
        <w:trPr>
          <w:trHeight w:val="300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22461766" w14:textId="54AAC9AA" w:rsidR="00B02298" w:rsidRPr="002B09B8" w:rsidRDefault="00101C5F" w:rsidP="002B09B8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rPr>
                <w:smallCaps/>
                <w:color w:val="FFFFFF"/>
                <w:sz w:val="24"/>
                <w:szCs w:val="24"/>
              </w:rPr>
            </w:pPr>
            <w:bookmarkStart w:id="0" w:name="_Hlk89851053"/>
            <w:r>
              <w:rPr>
                <w:smallCaps/>
                <w:color w:val="FFFFFF"/>
                <w:sz w:val="24"/>
                <w:szCs w:val="24"/>
              </w:rPr>
              <w:t>Pilot</w:t>
            </w:r>
            <w:r w:rsidR="002B09B8" w:rsidRPr="002B09B8">
              <w:rPr>
                <w:smallCaps/>
                <w:color w:val="FFFFFF"/>
                <w:sz w:val="24"/>
                <w:szCs w:val="24"/>
              </w:rPr>
              <w:t xml:space="preserve"> Projects Final report</w:t>
            </w:r>
          </w:p>
        </w:tc>
      </w:tr>
      <w:tr w:rsidR="00C470D3" w14:paraId="7896C719" w14:textId="77777777" w:rsidTr="00FE32EF">
        <w:trPr>
          <w:trHeight w:val="390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6FC1CB07" w14:textId="06F7D8E8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Call round: </w:t>
            </w:r>
            <w:r w:rsidR="0077541A">
              <w:rPr>
                <w:b/>
                <w:highlight w:val="white"/>
              </w:rPr>
              <w:t>1</w:t>
            </w:r>
          </w:p>
        </w:tc>
      </w:tr>
      <w:tr w:rsidR="00C470D3" w14:paraId="621CC390" w14:textId="77777777" w:rsidTr="00FE32EF">
        <w:trPr>
          <w:trHeight w:val="300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4B60F827" w14:textId="7C48FB06" w:rsidR="00C470D3" w:rsidRDefault="00101C5F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Pilot</w:t>
            </w:r>
            <w:r w:rsidR="002B09B8">
              <w:rPr>
                <w:b/>
                <w:highlight w:val="white"/>
              </w:rPr>
              <w:t xml:space="preserve"> </w:t>
            </w:r>
            <w:r w:rsidR="0005644D">
              <w:rPr>
                <w:b/>
                <w:highlight w:val="white"/>
              </w:rPr>
              <w:t>Project Title:</w:t>
            </w:r>
            <w:r w:rsidR="0077541A">
              <w:rPr>
                <w:b/>
                <w:highlight w:val="white"/>
              </w:rPr>
              <w:t xml:space="preserve"> </w:t>
            </w:r>
            <w:r w:rsidR="0077541A">
              <w:rPr>
                <w:color w:val="010101"/>
                <w:w w:val="105"/>
              </w:rPr>
              <w:t>Developing best-practice guidelines to</w:t>
            </w:r>
            <w:r w:rsidR="0077541A">
              <w:rPr>
                <w:color w:val="010101"/>
                <w:spacing w:val="-6"/>
                <w:w w:val="105"/>
              </w:rPr>
              <w:t xml:space="preserve"> </w:t>
            </w:r>
            <w:r w:rsidR="0077541A">
              <w:rPr>
                <w:color w:val="010101"/>
                <w:w w:val="105"/>
              </w:rPr>
              <w:t xml:space="preserve">integrate long-term </w:t>
            </w:r>
            <w:proofErr w:type="spellStart"/>
            <w:r w:rsidR="0077541A">
              <w:rPr>
                <w:color w:val="010101"/>
                <w:w w:val="105"/>
              </w:rPr>
              <w:t>ecoacoustic</w:t>
            </w:r>
            <w:proofErr w:type="spellEnd"/>
            <w:r w:rsidR="0077541A">
              <w:rPr>
                <w:color w:val="010101"/>
                <w:w w:val="105"/>
              </w:rPr>
              <w:t xml:space="preserve"> methods into</w:t>
            </w:r>
            <w:r w:rsidR="0077541A">
              <w:rPr>
                <w:color w:val="010101"/>
                <w:spacing w:val="-9"/>
                <w:w w:val="105"/>
              </w:rPr>
              <w:t xml:space="preserve"> </w:t>
            </w:r>
            <w:r w:rsidR="0077541A">
              <w:rPr>
                <w:color w:val="010101"/>
                <w:w w:val="105"/>
              </w:rPr>
              <w:t>UK</w:t>
            </w:r>
            <w:r w:rsidR="0077541A">
              <w:rPr>
                <w:color w:val="010101"/>
                <w:spacing w:val="-3"/>
                <w:w w:val="105"/>
              </w:rPr>
              <w:t xml:space="preserve"> </w:t>
            </w:r>
            <w:r w:rsidR="0077541A">
              <w:rPr>
                <w:color w:val="010101"/>
                <w:w w:val="105"/>
              </w:rPr>
              <w:t>biodiversity monitoring</w:t>
            </w:r>
          </w:p>
        </w:tc>
      </w:tr>
      <w:tr w:rsidR="00C470D3" w14:paraId="3A91CC34" w14:textId="77777777" w:rsidTr="00FE32EF">
        <w:trPr>
          <w:trHeight w:val="390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04874B86" w14:textId="27F2ECB8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PI:</w:t>
            </w:r>
            <w:r w:rsidR="0077541A">
              <w:rPr>
                <w:b/>
                <w:highlight w:val="white"/>
              </w:rPr>
              <w:t xml:space="preserve"> Oliver Metcalf</w:t>
            </w:r>
          </w:p>
        </w:tc>
        <w:tc>
          <w:tcPr>
            <w:tcW w:w="4905" w:type="dxa"/>
            <w:gridSpan w:val="2"/>
            <w:tcBorders>
              <w:bottom w:val="single" w:sz="4" w:space="0" w:color="000000"/>
            </w:tcBorders>
          </w:tcPr>
          <w:p w14:paraId="55690FD9" w14:textId="59F8F652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Research Organisation:</w:t>
            </w:r>
            <w:r w:rsidR="0077541A">
              <w:rPr>
                <w:b/>
                <w:highlight w:val="white"/>
              </w:rPr>
              <w:t xml:space="preserve"> Manchester Metropolitan University</w:t>
            </w:r>
          </w:p>
        </w:tc>
      </w:tr>
      <w:tr w:rsidR="00C470D3" w14:paraId="645F462E" w14:textId="77777777" w:rsidTr="00FE32EF">
        <w:trPr>
          <w:trHeight w:val="216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0653AE9A" w14:textId="1367979A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Department:</w:t>
            </w:r>
            <w:r w:rsidR="0077541A">
              <w:rPr>
                <w:b/>
                <w:highlight w:val="white"/>
              </w:rPr>
              <w:t xml:space="preserve"> Science and Engineering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14:paraId="535DF6E7" w14:textId="514A5E51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Start Date: </w:t>
            </w:r>
            <w:r w:rsidR="0077541A">
              <w:rPr>
                <w:b/>
                <w:highlight w:val="white"/>
              </w:rPr>
              <w:t>1/04/2022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14:paraId="56D5D528" w14:textId="612D6881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Duration</w:t>
            </w:r>
            <w:r w:rsidR="0077541A">
              <w:rPr>
                <w:b/>
                <w:highlight w:val="white"/>
              </w:rPr>
              <w:t xml:space="preserve"> 4 months (extended to 9)</w:t>
            </w:r>
          </w:p>
        </w:tc>
      </w:tr>
      <w:tr w:rsidR="00C470D3" w14:paraId="318686F5" w14:textId="77777777" w:rsidTr="00FE32EF">
        <w:trPr>
          <w:trHeight w:val="449"/>
        </w:trPr>
        <w:tc>
          <w:tcPr>
            <w:tcW w:w="4849" w:type="dxa"/>
          </w:tcPr>
          <w:p w14:paraId="36144D12" w14:textId="761064BB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Cost of award (80%):</w:t>
            </w:r>
            <w:r w:rsidR="0077541A">
              <w:rPr>
                <w:b/>
                <w:highlight w:val="white"/>
              </w:rPr>
              <w:t xml:space="preserve"> £14,885.59</w:t>
            </w:r>
          </w:p>
        </w:tc>
        <w:tc>
          <w:tcPr>
            <w:tcW w:w="4905" w:type="dxa"/>
            <w:gridSpan w:val="2"/>
          </w:tcPr>
          <w:p w14:paraId="43DD76C4" w14:textId="47E051ED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Value of co-investment:  </w:t>
            </w:r>
            <w:r w:rsidR="00FC0F27">
              <w:rPr>
                <w:b/>
                <w:highlight w:val="white"/>
              </w:rPr>
              <w:t>£3,721.39</w:t>
            </w:r>
          </w:p>
          <w:p w14:paraId="22222521" w14:textId="203F1B7E" w:rsidR="00C470D3" w:rsidRDefault="0005644D" w:rsidP="000B0CEC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In kind:  </w:t>
            </w:r>
          </w:p>
          <w:p w14:paraId="12F73A5C" w14:textId="29C6C8DF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Cash: </w:t>
            </w:r>
            <w:r w:rsidR="00FC0F27">
              <w:rPr>
                <w:b/>
                <w:highlight w:val="white"/>
              </w:rPr>
              <w:t>£3,721.39</w:t>
            </w:r>
          </w:p>
        </w:tc>
      </w:tr>
      <w:tr w:rsidR="00C470D3" w14:paraId="1F6A809A" w14:textId="77777777" w:rsidTr="00FE32EF">
        <w:trPr>
          <w:trHeight w:val="405"/>
        </w:trPr>
        <w:tc>
          <w:tcPr>
            <w:tcW w:w="4849" w:type="dxa"/>
          </w:tcPr>
          <w:p w14:paraId="10F42CF0" w14:textId="63959BE2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Co-I and associated RO:</w:t>
            </w:r>
            <w:r w:rsidR="00FC0F27">
              <w:rPr>
                <w:b/>
                <w:highlight w:val="white"/>
              </w:rPr>
              <w:t xml:space="preserve"> KTP partner, Carlos Abrahams, Baker Consulting Ltd</w:t>
            </w:r>
          </w:p>
        </w:tc>
        <w:tc>
          <w:tcPr>
            <w:tcW w:w="4905" w:type="dxa"/>
            <w:gridSpan w:val="2"/>
          </w:tcPr>
          <w:p w14:paraId="0DC55340" w14:textId="77777777" w:rsidR="00C470D3" w:rsidRDefault="00082075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Acoustic </w:t>
            </w:r>
            <w:r w:rsidR="0005644D">
              <w:rPr>
                <w:b/>
                <w:highlight w:val="white"/>
              </w:rPr>
              <w:t xml:space="preserve">Research themes: </w:t>
            </w:r>
          </w:p>
          <w:p w14:paraId="661780B6" w14:textId="77777777" w:rsidR="00FC0F27" w:rsidRPr="00FC0F27" w:rsidRDefault="00FC0F27" w:rsidP="00FC0F27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C0F27">
              <w:rPr>
                <w:rFonts w:asciiTheme="majorHAnsi" w:hAnsiTheme="majorHAnsi" w:cstheme="majorHAnsi"/>
                <w:sz w:val="24"/>
                <w:szCs w:val="24"/>
              </w:rPr>
              <w:t>Acoustics for understanding of climate change</w:t>
            </w:r>
          </w:p>
          <w:p w14:paraId="2EE51B7D" w14:textId="77777777" w:rsidR="00FC0F27" w:rsidRPr="00FC0F27" w:rsidRDefault="00FC0F27" w:rsidP="00FC0F27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C0F27">
              <w:rPr>
                <w:rFonts w:asciiTheme="majorHAnsi" w:hAnsiTheme="majorHAnsi" w:cstheme="majorHAnsi"/>
                <w:sz w:val="24"/>
                <w:szCs w:val="24"/>
              </w:rPr>
              <w:t>Impact of noise on mental and physical health</w:t>
            </w:r>
          </w:p>
          <w:p w14:paraId="14E3C6C8" w14:textId="77777777" w:rsidR="00FC0F27" w:rsidRPr="00FC0F27" w:rsidRDefault="00FC0F27" w:rsidP="00FC0F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F27">
              <w:rPr>
                <w:rFonts w:asciiTheme="majorHAnsi" w:hAnsiTheme="majorHAnsi" w:cstheme="majorHAnsi"/>
                <w:sz w:val="24"/>
                <w:szCs w:val="24"/>
              </w:rPr>
              <w:t>Impact of sounds on wildlife</w:t>
            </w:r>
          </w:p>
          <w:p w14:paraId="026CB50E" w14:textId="691C66B4" w:rsidR="00FC0F27" w:rsidRPr="00FC0F27" w:rsidRDefault="00FC0F27" w:rsidP="00FC0F27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C0F27">
              <w:rPr>
                <w:rFonts w:asciiTheme="majorHAnsi" w:hAnsiTheme="majorHAnsi" w:cstheme="majorHAnsi"/>
                <w:sz w:val="24"/>
                <w:szCs w:val="24"/>
              </w:rPr>
              <w:t>Understanding of soundscapes</w:t>
            </w:r>
          </w:p>
        </w:tc>
      </w:tr>
      <w:tr w:rsidR="00082075" w14:paraId="686AC4A1" w14:textId="77777777" w:rsidTr="004C4E53">
        <w:trPr>
          <w:trHeight w:val="1017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03E17C03" w14:textId="77777777" w:rsidR="00082075" w:rsidRDefault="00082075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Collaborations &amp; Partnerships involved in project: </w:t>
            </w:r>
            <w:r>
              <w:rPr>
                <w:highlight w:val="white"/>
              </w:rPr>
              <w:t>Tell us about bi-lateral or multi-lateral partnerships/participation by the PI or research team in a network, consortium, multi-centre study</w:t>
            </w:r>
          </w:p>
          <w:p w14:paraId="69B6A6C5" w14:textId="77777777" w:rsidR="00FC0F27" w:rsidRDefault="00FC0F27">
            <w:pPr>
              <w:rPr>
                <w:highlight w:val="white"/>
              </w:rPr>
            </w:pPr>
          </w:p>
          <w:p w14:paraId="13DB8ADC" w14:textId="7EFD13A5" w:rsidR="00FC0F27" w:rsidRDefault="00FC0F27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We hosted </w:t>
            </w:r>
            <w:hyperlink r:id="rId11" w:history="1">
              <w:r w:rsidRPr="00FC0F27">
                <w:rPr>
                  <w:rStyle w:val="Hyperlink"/>
                  <w:highlight w:val="white"/>
                </w:rPr>
                <w:t>a symposium</w:t>
              </w:r>
            </w:hyperlink>
            <w:r>
              <w:rPr>
                <w:highlight w:val="white"/>
              </w:rPr>
              <w:t xml:space="preserve">, also co-funded by UKAN, attended by over 160 people, to introduce and discuss the idea of the guidelines with the UK </w:t>
            </w:r>
            <w:proofErr w:type="spellStart"/>
            <w:r>
              <w:rPr>
                <w:highlight w:val="white"/>
              </w:rPr>
              <w:t>ecoacoustic</w:t>
            </w:r>
            <w:proofErr w:type="spellEnd"/>
            <w:r>
              <w:rPr>
                <w:highlight w:val="white"/>
              </w:rPr>
              <w:t xml:space="preserve"> community. Following this, we have convened an expert panel to co-author and advise on the guidelines, resulting in a Slack group with 25 members and the final guidelines having 18 co-authors. </w:t>
            </w:r>
          </w:p>
        </w:tc>
      </w:tr>
      <w:tr w:rsidR="00C470D3" w14:paraId="023FBAC2" w14:textId="77777777" w:rsidTr="00FE32EF">
        <w:trPr>
          <w:trHeight w:val="216"/>
        </w:trPr>
        <w:tc>
          <w:tcPr>
            <w:tcW w:w="9754" w:type="dxa"/>
            <w:gridSpan w:val="3"/>
            <w:tcBorders>
              <w:bottom w:val="single" w:sz="4" w:space="0" w:color="000000"/>
            </w:tcBorders>
          </w:tcPr>
          <w:p w14:paraId="630642DB" w14:textId="77777777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Project Partners </w:t>
            </w:r>
          </w:p>
        </w:tc>
      </w:tr>
      <w:tr w:rsidR="00C470D3" w14:paraId="61AA8762" w14:textId="77777777" w:rsidTr="002B09B8">
        <w:trPr>
          <w:trHeight w:val="668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61EC46DE" w14:textId="77777777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Value and details of in-kind co-investment: -</w:t>
            </w:r>
          </w:p>
        </w:tc>
        <w:tc>
          <w:tcPr>
            <w:tcW w:w="4905" w:type="dxa"/>
            <w:gridSpan w:val="2"/>
            <w:tcBorders>
              <w:bottom w:val="single" w:sz="4" w:space="0" w:color="000000"/>
            </w:tcBorders>
          </w:tcPr>
          <w:p w14:paraId="40679ACD" w14:textId="77777777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Value and details of cash co-investment: -</w:t>
            </w:r>
          </w:p>
        </w:tc>
      </w:tr>
      <w:tr w:rsidR="00C470D3" w14:paraId="595C7534" w14:textId="77777777" w:rsidTr="002B09B8">
        <w:trPr>
          <w:trHeight w:val="652"/>
        </w:trPr>
        <w:tc>
          <w:tcPr>
            <w:tcW w:w="9754" w:type="dxa"/>
            <w:gridSpan w:val="3"/>
          </w:tcPr>
          <w:p w14:paraId="7F15D449" w14:textId="0B787C6B" w:rsidR="00FC0F27" w:rsidRPr="00FC0F27" w:rsidRDefault="0005644D" w:rsidP="00FC0F27">
            <w:pPr>
              <w:pStyle w:val="NormalWeb"/>
              <w:spacing w:before="240" w:beforeAutospacing="0" w:after="240" w:afterAutospacing="0"/>
            </w:pPr>
            <w:r>
              <w:rPr>
                <w:b/>
                <w:highlight w:val="white"/>
              </w:rPr>
              <w:t>Summary</w:t>
            </w:r>
            <w:r w:rsidR="00FC0F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0F27" w:rsidRPr="00FC0F27">
              <w:rPr>
                <w:rFonts w:ascii="Arial" w:hAnsi="Arial" w:cs="Arial"/>
                <w:color w:val="000000"/>
                <w:sz w:val="22"/>
                <w:szCs w:val="22"/>
              </w:rPr>
              <w:t>Passive acoustic monitoring has great potential as a cost-effective method for long-term biodiversity monitoring. However, to maximise its efficacy, standardisation of survey protocols is necessary to ensure data are comparable and permit reliable inferences.</w:t>
            </w:r>
          </w:p>
          <w:p w14:paraId="66189D6E" w14:textId="127188C6" w:rsidR="00C470D3" w:rsidRDefault="00FC0F27" w:rsidP="00FC0F27">
            <w:pPr>
              <w:spacing w:before="240" w:after="240"/>
              <w:rPr>
                <w:sz w:val="24"/>
                <w:szCs w:val="24"/>
                <w:highlight w:val="white"/>
              </w:rPr>
            </w:pPr>
            <w:r w:rsidRPr="00FC0F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​​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Pr="00FC0F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hese guidelines outline a basic long-term acoustic monitoring protocol that can be adapted to suit a range of projects according to specific objectives and size.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FC0F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provide an executive summary giving</w:t>
            </w:r>
            <w:r w:rsidRPr="00FC0F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basic recommendations for audible-range terrestrial ecosystem monitoring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 Quick Start Guide based on a synthesis of the latest academic research, and over 100 pages of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in-depth discussion of the requirements and considerations for undertaking good-practice use of long-term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ecoacoustic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monitoring. </w:t>
            </w:r>
          </w:p>
        </w:tc>
      </w:tr>
      <w:tr w:rsidR="00C470D3" w14:paraId="39890224" w14:textId="77777777" w:rsidTr="00FE32EF">
        <w:trPr>
          <w:trHeight w:val="636"/>
        </w:trPr>
        <w:tc>
          <w:tcPr>
            <w:tcW w:w="9754" w:type="dxa"/>
            <w:gridSpan w:val="3"/>
          </w:tcPr>
          <w:p w14:paraId="7C753587" w14:textId="77777777" w:rsidR="00C470D3" w:rsidRDefault="0005644D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 xml:space="preserve">Objectives: </w:t>
            </w:r>
            <w:r>
              <w:rPr>
                <w:highlight w:val="white"/>
              </w:rPr>
              <w:t>As stated in the original case for support</w:t>
            </w:r>
          </w:p>
          <w:p w14:paraId="374AFFEC" w14:textId="102769D7" w:rsidR="00A34CAD" w:rsidRDefault="00A34CAD" w:rsidP="00A34CAD">
            <w:pPr>
              <w:pStyle w:val="BodyText"/>
              <w:spacing w:before="1"/>
              <w:ind w:left="114"/>
              <w:rPr>
                <w:color w:val="010101"/>
                <w:spacing w:val="-2"/>
                <w:w w:val="105"/>
              </w:rPr>
            </w:pPr>
            <w:r>
              <w:rPr>
                <w:color w:val="010101"/>
                <w:spacing w:val="-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[Deliverable</w:t>
            </w:r>
            <w:r>
              <w:rPr>
                <w:color w:val="010101"/>
                <w:spacing w:val="10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1]:</w:t>
            </w:r>
            <w:r>
              <w:rPr>
                <w:color w:val="010101"/>
                <w:spacing w:val="-8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Production</w:t>
            </w:r>
            <w:r>
              <w:rPr>
                <w:color w:val="010101"/>
                <w:spacing w:val="-3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of</w:t>
            </w:r>
            <w:r>
              <w:rPr>
                <w:color w:val="010101"/>
                <w:spacing w:val="-1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draft</w:t>
            </w:r>
            <w:r>
              <w:rPr>
                <w:color w:val="010101"/>
                <w:spacing w:val="-10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best</w:t>
            </w:r>
            <w:r>
              <w:rPr>
                <w:color w:val="010101"/>
                <w:spacing w:val="-9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practice</w:t>
            </w:r>
            <w:r>
              <w:rPr>
                <w:color w:val="010101"/>
                <w:spacing w:val="-8"/>
                <w:w w:val="105"/>
              </w:rPr>
              <w:t xml:space="preserve"> </w:t>
            </w:r>
            <w:r>
              <w:rPr>
                <w:color w:val="010101"/>
                <w:spacing w:val="-2"/>
                <w:w w:val="105"/>
              </w:rPr>
              <w:t>guidelines</w:t>
            </w:r>
          </w:p>
          <w:p w14:paraId="0275A027" w14:textId="3C90661A" w:rsidR="00A34CAD" w:rsidRDefault="00A34CAD" w:rsidP="00A34CAD">
            <w:pPr>
              <w:ind w:left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   </w:t>
            </w:r>
            <w:r>
              <w:rPr>
                <w:color w:val="010101"/>
                <w:w w:val="105"/>
                <w:sz w:val="21"/>
              </w:rPr>
              <w:t>[Deliverable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2]: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Production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final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1"/>
              </w:rPr>
              <w:t>guidelines</w:t>
            </w:r>
          </w:p>
          <w:p w14:paraId="758D9AC8" w14:textId="77777777" w:rsidR="00A34CAD" w:rsidRDefault="00A34CAD" w:rsidP="00A34CAD">
            <w:pPr>
              <w:spacing w:before="8"/>
              <w:rPr>
                <w:sz w:val="23"/>
              </w:rPr>
            </w:pPr>
          </w:p>
          <w:p w14:paraId="5314220A" w14:textId="5477E7B7" w:rsidR="00A34CAD" w:rsidRDefault="00A34CAD" w:rsidP="00A34CAD">
            <w:pPr>
              <w:pStyle w:val="BodyText"/>
              <w:spacing w:before="1"/>
              <w:ind w:left="114"/>
            </w:pPr>
            <w:r>
              <w:rPr>
                <w:color w:val="010101"/>
                <w:w w:val="105"/>
              </w:rPr>
              <w:t>Post-project [Deliverable 3]:</w:t>
            </w:r>
            <w:r>
              <w:rPr>
                <w:color w:val="010101"/>
                <w:spacing w:val="-1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Commissioning and</w:t>
            </w:r>
            <w:r>
              <w:rPr>
                <w:color w:val="010101"/>
                <w:spacing w:val="-1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production</w:t>
            </w:r>
            <w:r>
              <w:rPr>
                <w:color w:val="010101"/>
                <w:spacing w:val="-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of</w:t>
            </w:r>
            <w:r>
              <w:rPr>
                <w:color w:val="010101"/>
                <w:spacing w:val="-14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brochure,</w:t>
            </w:r>
            <w:r>
              <w:rPr>
                <w:color w:val="010101"/>
                <w:spacing w:val="-6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linking articles in practitioner magazines/journals such CIEEMs In Practice and Conservation Land Management, to promote the guidelines</w:t>
            </w:r>
          </w:p>
          <w:p w14:paraId="5348C9B7" w14:textId="77777777" w:rsidR="00A34CAD" w:rsidRDefault="00A34CAD" w:rsidP="00A34CAD">
            <w:pPr>
              <w:pStyle w:val="BodyText"/>
              <w:spacing w:before="3"/>
              <w:rPr>
                <w:sz w:val="23"/>
              </w:rPr>
            </w:pPr>
          </w:p>
          <w:p w14:paraId="4B09297A" w14:textId="5D074F2C" w:rsidR="00A34CAD" w:rsidRDefault="00A34CAD" w:rsidP="00A34CAD">
            <w:pPr>
              <w:pStyle w:val="BodyText"/>
              <w:spacing w:line="252" w:lineRule="auto"/>
              <w:ind w:left="110" w:firstLine="4"/>
              <w:rPr>
                <w:highlight w:val="white"/>
              </w:rPr>
            </w:pPr>
          </w:p>
        </w:tc>
      </w:tr>
      <w:tr w:rsidR="00C470D3" w14:paraId="16970F2E" w14:textId="77777777" w:rsidTr="002B09B8">
        <w:trPr>
          <w:trHeight w:val="1073"/>
        </w:trPr>
        <w:tc>
          <w:tcPr>
            <w:tcW w:w="9754" w:type="dxa"/>
            <w:gridSpan w:val="3"/>
          </w:tcPr>
          <w:p w14:paraId="794469D0" w14:textId="13B2673A" w:rsidR="00C470D3" w:rsidRDefault="0005644D" w:rsidP="002B09B8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Outcomes/Impact</w:t>
            </w:r>
            <w:r w:rsidR="00E416AC">
              <w:rPr>
                <w:b/>
                <w:highlight w:val="white"/>
              </w:rPr>
              <w:t>*</w:t>
            </w:r>
            <w:r>
              <w:rPr>
                <w:b/>
                <w:highlight w:val="white"/>
              </w:rPr>
              <w:t xml:space="preserve">: </w:t>
            </w:r>
            <w:r>
              <w:rPr>
                <w:highlight w:val="white"/>
              </w:rPr>
              <w:t xml:space="preserve">Please refer to stated objectives.  What impact has this had on the </w:t>
            </w:r>
            <w:r w:rsidR="00101C5F">
              <w:rPr>
                <w:highlight w:val="white"/>
              </w:rPr>
              <w:t>Acoustics Sector</w:t>
            </w:r>
            <w:r>
              <w:rPr>
                <w:highlight w:val="white"/>
              </w:rPr>
              <w:t>? How are the results being applied? Please provide specific examples/evidence to support the provided statements.</w:t>
            </w:r>
          </w:p>
          <w:p w14:paraId="2DEAAA11" w14:textId="77777777" w:rsidR="00C470D3" w:rsidRDefault="00C470D3">
            <w:pPr>
              <w:rPr>
                <w:b/>
                <w:highlight w:val="white"/>
              </w:rPr>
            </w:pPr>
          </w:p>
          <w:p w14:paraId="509C4886" w14:textId="6A357FDD" w:rsidR="00A34CAD" w:rsidRPr="00A34CAD" w:rsidRDefault="00A34CAD">
            <w:pPr>
              <w:rPr>
                <w:bCs/>
                <w:highlight w:val="white"/>
              </w:rPr>
            </w:pPr>
            <w:r w:rsidRPr="00A34CAD">
              <w:rPr>
                <w:bCs/>
                <w:highlight w:val="white"/>
              </w:rPr>
              <w:t xml:space="preserve">Deliverables 1 and 2 have been achieved. </w:t>
            </w:r>
            <w:r>
              <w:rPr>
                <w:bCs/>
                <w:highlight w:val="white"/>
              </w:rPr>
              <w:t xml:space="preserve">The final guidelines will undergo some professional formatting so that </w:t>
            </w:r>
            <w:r w:rsidRPr="00A34CAD">
              <w:rPr>
                <w:bCs/>
                <w:highlight w:val="white"/>
              </w:rPr>
              <w:t>Deliverable 3 will be completed by the end of January 2023 (agreed with UKAN+/ZH)</w:t>
            </w:r>
            <w:r>
              <w:rPr>
                <w:bCs/>
                <w:highlight w:val="white"/>
              </w:rPr>
              <w:t xml:space="preserve">. This means that the guidelines will be released in time for the upsurge in field studies at the start of </w:t>
            </w:r>
            <w:proofErr w:type="gramStart"/>
            <w:r>
              <w:rPr>
                <w:bCs/>
                <w:highlight w:val="white"/>
              </w:rPr>
              <w:t>spring, and</w:t>
            </w:r>
            <w:proofErr w:type="gramEnd"/>
            <w:r>
              <w:rPr>
                <w:bCs/>
                <w:highlight w:val="white"/>
              </w:rPr>
              <w:t xml:space="preserve"> is likely to maximise impact. We know that the guidelines are eagerly anticipated by the community, and have been discussed at several recent high profile academic events (</w:t>
            </w:r>
            <w:proofErr w:type="gramStart"/>
            <w:r>
              <w:rPr>
                <w:bCs/>
                <w:highlight w:val="white"/>
              </w:rPr>
              <w:t>e.g.</w:t>
            </w:r>
            <w:proofErr w:type="gramEnd"/>
            <w:r>
              <w:rPr>
                <w:bCs/>
                <w:highlight w:val="white"/>
              </w:rPr>
              <w:t xml:space="preserve"> the British Ecological Society annual conference 2022 in Edinburgh and </w:t>
            </w:r>
            <w:proofErr w:type="spellStart"/>
            <w:r>
              <w:rPr>
                <w:bCs/>
                <w:highlight w:val="white"/>
              </w:rPr>
              <w:t>EcoHack</w:t>
            </w:r>
            <w:proofErr w:type="spellEnd"/>
            <w:r>
              <w:rPr>
                <w:bCs/>
                <w:highlight w:val="white"/>
              </w:rPr>
              <w:t xml:space="preserve"> 2022 in Stirling).</w:t>
            </w:r>
          </w:p>
        </w:tc>
      </w:tr>
      <w:tr w:rsidR="00E416AC" w14:paraId="7EF1E478" w14:textId="77777777" w:rsidTr="00EC48C9">
        <w:trPr>
          <w:trHeight w:val="668"/>
        </w:trPr>
        <w:tc>
          <w:tcPr>
            <w:tcW w:w="4849" w:type="dxa"/>
            <w:tcBorders>
              <w:bottom w:val="single" w:sz="4" w:space="0" w:color="000000"/>
            </w:tcBorders>
          </w:tcPr>
          <w:p w14:paraId="14547519" w14:textId="3E2EE4FA" w:rsidR="00E416AC" w:rsidRDefault="00E416AC" w:rsidP="00EC48C9">
            <w:pPr>
              <w:rPr>
                <w:b/>
                <w:highlight w:val="white"/>
              </w:rPr>
            </w:pPr>
            <w:bookmarkStart w:id="1" w:name="_Hlk98853912"/>
            <w:r>
              <w:rPr>
                <w:b/>
                <w:highlight w:val="white"/>
              </w:rPr>
              <w:t xml:space="preserve">*What activities have you undertaken to engage with research users, special interest groups and the </w:t>
            </w:r>
            <w:proofErr w:type="gramStart"/>
            <w:r>
              <w:rPr>
                <w:b/>
                <w:highlight w:val="white"/>
              </w:rPr>
              <w:t>general public</w:t>
            </w:r>
            <w:proofErr w:type="gramEnd"/>
            <w:r>
              <w:rPr>
                <w:b/>
                <w:highlight w:val="white"/>
              </w:rPr>
              <w:t xml:space="preserve"> to inform them about the research?  </w:t>
            </w:r>
          </w:p>
          <w:p w14:paraId="071CF91B" w14:textId="2AFCC9A3" w:rsidR="00E416AC" w:rsidRPr="00A34CAD" w:rsidRDefault="00A34CAD" w:rsidP="00EC48C9">
            <w:pPr>
              <w:rPr>
                <w:bCs/>
                <w:highlight w:val="white"/>
              </w:rPr>
            </w:pPr>
            <w:r w:rsidRPr="00A34CAD">
              <w:rPr>
                <w:bCs/>
                <w:highlight w:val="white"/>
              </w:rPr>
              <w:t>We have wide-ranging participation</w:t>
            </w:r>
            <w:r>
              <w:rPr>
                <w:bCs/>
                <w:highlight w:val="white"/>
              </w:rPr>
              <w:t>, with co-authors from quangos (Natural England), research institutes (UK Centre for Ecology and Hydrology, Natural History Museum), industry (Skyline Ecology/Wildlife Acoustics, Baker Consulting Ltd), and 11 different universities. We know from the symposium that the guidelines will have broad appeal, including to government agencies in neighbouring countries, a range of conservation organisations</w:t>
            </w:r>
            <w:r w:rsidR="001A0ED3">
              <w:rPr>
                <w:bCs/>
                <w:highlight w:val="white"/>
              </w:rPr>
              <w:t>, ecological consultancies</w:t>
            </w:r>
            <w:r>
              <w:rPr>
                <w:bCs/>
                <w:highlight w:val="white"/>
              </w:rPr>
              <w:t xml:space="preserve"> and many others who are already aware of them.  </w:t>
            </w:r>
          </w:p>
          <w:p w14:paraId="5436F278" w14:textId="77777777" w:rsidR="00E416AC" w:rsidRDefault="00E416AC" w:rsidP="00EC48C9">
            <w:pPr>
              <w:rPr>
                <w:b/>
                <w:highlight w:val="white"/>
              </w:rPr>
            </w:pPr>
          </w:p>
          <w:p w14:paraId="7D8D3D0C" w14:textId="7FDBF6F6" w:rsidR="001A0ED3" w:rsidRPr="001A0ED3" w:rsidRDefault="001A0ED3" w:rsidP="00EC48C9">
            <w:pPr>
              <w:rPr>
                <w:bCs/>
                <w:highlight w:val="white"/>
              </w:rPr>
            </w:pPr>
            <w:proofErr w:type="gramStart"/>
            <w:r>
              <w:rPr>
                <w:bCs/>
                <w:highlight w:val="white"/>
              </w:rPr>
              <w:t>Once  the</w:t>
            </w:r>
            <w:proofErr w:type="gramEnd"/>
            <w:r>
              <w:rPr>
                <w:bCs/>
                <w:highlight w:val="white"/>
              </w:rPr>
              <w:t xml:space="preserve"> guidelines are fully formatted, we plan to promote them through articles in industry magazines (CIEEM In Practice), through a short note in an appropriate academic journal, and by the broad social media reach of our co-authors.</w:t>
            </w:r>
          </w:p>
        </w:tc>
        <w:tc>
          <w:tcPr>
            <w:tcW w:w="4905" w:type="dxa"/>
            <w:gridSpan w:val="2"/>
            <w:tcBorders>
              <w:bottom w:val="single" w:sz="4" w:space="0" w:color="000000"/>
            </w:tcBorders>
          </w:tcPr>
          <w:p w14:paraId="3748CBCD" w14:textId="77777777" w:rsidR="00E416AC" w:rsidRDefault="00E416AC" w:rsidP="00EC48C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*Have any new research tools or methods been created or commissioned, if so, provide details: -</w:t>
            </w:r>
          </w:p>
          <w:p w14:paraId="2E6BF710" w14:textId="0C1821D1" w:rsidR="001A0ED3" w:rsidRPr="001A0ED3" w:rsidRDefault="001A0ED3" w:rsidP="00EC48C9">
            <w:pPr>
              <w:rPr>
                <w:bCs/>
                <w:highlight w:val="white"/>
              </w:rPr>
            </w:pPr>
            <w:r w:rsidRPr="001A0ED3">
              <w:rPr>
                <w:bCs/>
                <w:highlight w:val="white"/>
              </w:rPr>
              <w:t>No</w:t>
            </w:r>
          </w:p>
        </w:tc>
      </w:tr>
      <w:bookmarkEnd w:id="1"/>
      <w:tr w:rsidR="00E416AC" w14:paraId="2C56A987" w14:textId="77777777" w:rsidTr="00EC48C9">
        <w:trPr>
          <w:trHeight w:val="668"/>
        </w:trPr>
        <w:tc>
          <w:tcPr>
            <w:tcW w:w="4849" w:type="dxa"/>
          </w:tcPr>
          <w:p w14:paraId="20D6D09F" w14:textId="598D065D" w:rsidR="00E416AC" w:rsidRDefault="00E416AC" w:rsidP="00EC48C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*What activities have you undertaken to engage with research users, special interest groups and the </w:t>
            </w:r>
            <w:proofErr w:type="gramStart"/>
            <w:r>
              <w:rPr>
                <w:b/>
                <w:highlight w:val="white"/>
              </w:rPr>
              <w:t>general public</w:t>
            </w:r>
            <w:proofErr w:type="gramEnd"/>
            <w:r>
              <w:rPr>
                <w:b/>
                <w:highlight w:val="white"/>
              </w:rPr>
              <w:t xml:space="preserve"> to inform them about the research? </w:t>
            </w:r>
            <w:r w:rsidR="001A0ED3">
              <w:rPr>
                <w:b/>
                <w:highlight w:val="white"/>
              </w:rPr>
              <w:t>Answered above</w:t>
            </w:r>
          </w:p>
          <w:p w14:paraId="6C0E3582" w14:textId="77777777" w:rsidR="00E416AC" w:rsidRDefault="00E416AC" w:rsidP="00EC48C9">
            <w:pPr>
              <w:rPr>
                <w:b/>
                <w:highlight w:val="white"/>
              </w:rPr>
            </w:pPr>
          </w:p>
          <w:p w14:paraId="78279C95" w14:textId="77777777" w:rsidR="00E416AC" w:rsidRDefault="00E416AC" w:rsidP="00EC48C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4905" w:type="dxa"/>
            <w:gridSpan w:val="2"/>
          </w:tcPr>
          <w:p w14:paraId="71607880" w14:textId="77777777" w:rsidR="00E416AC" w:rsidRDefault="00E416AC" w:rsidP="00EC48C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*Have any new research datasets, databases and models making, or potential to make, significant difference to your research (or that of others), been created, if so, provide details: -</w:t>
            </w:r>
          </w:p>
          <w:p w14:paraId="22AEF0C0" w14:textId="45B2E138" w:rsidR="001A0ED3" w:rsidRPr="001A0ED3" w:rsidRDefault="001A0ED3" w:rsidP="00EC48C9">
            <w:pPr>
              <w:rPr>
                <w:bCs/>
                <w:highlight w:val="white"/>
              </w:rPr>
            </w:pPr>
            <w:r w:rsidRPr="001A0ED3">
              <w:rPr>
                <w:bCs/>
                <w:highlight w:val="white"/>
              </w:rPr>
              <w:t>N</w:t>
            </w:r>
            <w:r>
              <w:rPr>
                <w:bCs/>
                <w:highlight w:val="white"/>
              </w:rPr>
              <w:t>o</w:t>
            </w:r>
          </w:p>
        </w:tc>
      </w:tr>
      <w:tr w:rsidR="00C470D3" w14:paraId="4D5BE304" w14:textId="77777777" w:rsidTr="002B09B8">
        <w:trPr>
          <w:trHeight w:val="482"/>
        </w:trPr>
        <w:tc>
          <w:tcPr>
            <w:tcW w:w="9754" w:type="dxa"/>
            <w:gridSpan w:val="3"/>
          </w:tcPr>
          <w:p w14:paraId="592BE53D" w14:textId="77777777" w:rsidR="00C470D3" w:rsidRDefault="0005644D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Conclusion: </w:t>
            </w:r>
            <w:r>
              <w:rPr>
                <w:highlight w:val="white"/>
              </w:rPr>
              <w:t xml:space="preserve">What is the primary outcome of this research? </w:t>
            </w:r>
          </w:p>
          <w:p w14:paraId="7B996C6E" w14:textId="77777777" w:rsidR="001A0ED3" w:rsidRDefault="001A0ED3">
            <w:pPr>
              <w:rPr>
                <w:highlight w:val="white"/>
              </w:rPr>
            </w:pPr>
          </w:p>
          <w:p w14:paraId="3C2E0AAA" w14:textId="1E5C740F" w:rsidR="001A0ED3" w:rsidRDefault="001A0ED3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A </w:t>
            </w:r>
            <w:proofErr w:type="gramStart"/>
            <w:r>
              <w:rPr>
                <w:highlight w:val="white"/>
              </w:rPr>
              <w:t>118 page</w:t>
            </w:r>
            <w:proofErr w:type="gramEnd"/>
            <w:r>
              <w:rPr>
                <w:highlight w:val="white"/>
              </w:rPr>
              <w:t xml:space="preserve"> document entitled “</w:t>
            </w:r>
            <w:r w:rsidRPr="001A0ED3">
              <w:t xml:space="preserve">Good practice guidelines for long-term </w:t>
            </w:r>
            <w:proofErr w:type="spellStart"/>
            <w:r w:rsidRPr="001A0ED3">
              <w:t>ecoacoustic</w:t>
            </w:r>
            <w:proofErr w:type="spellEnd"/>
            <w:r w:rsidRPr="001A0ED3">
              <w:t xml:space="preserve"> monitoring in the UK</w:t>
            </w:r>
            <w:r>
              <w:t>”</w:t>
            </w:r>
          </w:p>
        </w:tc>
      </w:tr>
      <w:tr w:rsidR="00C470D3" w14:paraId="7B4BB3C8" w14:textId="77777777" w:rsidTr="00FE32EF">
        <w:trPr>
          <w:trHeight w:val="764"/>
        </w:trPr>
        <w:tc>
          <w:tcPr>
            <w:tcW w:w="9754" w:type="dxa"/>
            <w:gridSpan w:val="3"/>
          </w:tcPr>
          <w:p w14:paraId="5920E053" w14:textId="77777777" w:rsidR="00C470D3" w:rsidRDefault="0005644D">
            <w:pPr>
              <w:rPr>
                <w:highlight w:val="white"/>
              </w:rPr>
            </w:pPr>
            <w:bookmarkStart w:id="2" w:name="_heading=h.3j2qqm3" w:colFirst="0" w:colLast="0"/>
            <w:bookmarkEnd w:id="2"/>
            <w:r>
              <w:rPr>
                <w:b/>
                <w:highlight w:val="white"/>
              </w:rPr>
              <w:t xml:space="preserve">Plans for follow-on activities/grants: </w:t>
            </w:r>
            <w:r>
              <w:rPr>
                <w:highlight w:val="white"/>
              </w:rPr>
              <w:t xml:space="preserve">How are these results being used to further the area of research or its application in an industrial setting? </w:t>
            </w:r>
          </w:p>
          <w:p w14:paraId="39BD2DE2" w14:textId="291E5876" w:rsidR="00FE32EF" w:rsidRDefault="001A0ED3">
            <w:pPr>
              <w:rPr>
                <w:highlight w:val="white"/>
              </w:rPr>
            </w:pPr>
            <w:r>
              <w:rPr>
                <w:highlight w:val="white"/>
              </w:rPr>
              <w:t>We are in discussion amongst the co-authors about the best way to maintain these guidelines as a living document that can continue to evolve and improve as new research informs changes to good practice.</w:t>
            </w:r>
          </w:p>
          <w:p w14:paraId="29960507" w14:textId="77777777" w:rsidR="00FE32EF" w:rsidRDefault="00FE32EF">
            <w:pPr>
              <w:rPr>
                <w:highlight w:val="white"/>
              </w:rPr>
            </w:pPr>
          </w:p>
        </w:tc>
      </w:tr>
      <w:tr w:rsidR="00C470D3" w14:paraId="19950838" w14:textId="77777777" w:rsidTr="00FE32EF">
        <w:trPr>
          <w:trHeight w:val="330"/>
        </w:trPr>
        <w:tc>
          <w:tcPr>
            <w:tcW w:w="9754" w:type="dxa"/>
            <w:gridSpan w:val="3"/>
          </w:tcPr>
          <w:p w14:paraId="223D027C" w14:textId="577FCBC1" w:rsidR="00C470D3" w:rsidRDefault="0005644D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Weblink:</w:t>
            </w:r>
            <w:r>
              <w:rPr>
                <w:highlight w:val="white"/>
              </w:rPr>
              <w:t xml:space="preserve"> (to the outcome of the project, the Open Access repository for the data</w:t>
            </w:r>
            <w:r>
              <w:rPr>
                <w:highlight w:val="white"/>
                <w:vertAlign w:val="superscript"/>
              </w:rPr>
              <w:footnoteReference w:id="1"/>
            </w:r>
            <w:r>
              <w:rPr>
                <w:highlight w:val="white"/>
              </w:rPr>
              <w:t>, or press releases):</w:t>
            </w:r>
            <w:r w:rsidR="001A0ED3">
              <w:rPr>
                <w:highlight w:val="white"/>
              </w:rPr>
              <w:t xml:space="preserve"> See below</w:t>
            </w:r>
          </w:p>
        </w:tc>
      </w:tr>
      <w:tr w:rsidR="00C470D3" w14:paraId="7098128D" w14:textId="77777777" w:rsidTr="00FE32EF">
        <w:trPr>
          <w:trHeight w:val="330"/>
        </w:trPr>
        <w:tc>
          <w:tcPr>
            <w:tcW w:w="9754" w:type="dxa"/>
            <w:gridSpan w:val="3"/>
          </w:tcPr>
          <w:p w14:paraId="05691687" w14:textId="77777777" w:rsidR="00C470D3" w:rsidRDefault="0005644D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List of publications: </w:t>
            </w:r>
            <w:r>
              <w:rPr>
                <w:highlight w:val="white"/>
              </w:rPr>
              <w:t xml:space="preserve">in peer reviewed or non-peer reviewed literature. If no publications are available, what are the plans to publish? Please follow UKRI guidelines for Open Access </w:t>
            </w:r>
            <w:hyperlink r:id="rId12">
              <w:r>
                <w:rPr>
                  <w:b/>
                  <w:color w:val="1155CC"/>
                  <w:highlight w:val="white"/>
                  <w:u w:val="single"/>
                </w:rPr>
                <w:t>https://www.ukri.org/manage-your-award/publishing-your-research-findings/</w:t>
              </w:r>
            </w:hyperlink>
            <w:r>
              <w:rPr>
                <w:b/>
                <w:highlight w:val="white"/>
              </w:rPr>
              <w:t xml:space="preserve"> </w:t>
            </w:r>
          </w:p>
          <w:p w14:paraId="2B91E5C7" w14:textId="05F2E720" w:rsidR="00FE32EF" w:rsidRPr="001A0ED3" w:rsidRDefault="001A0ED3">
            <w:pPr>
              <w:rPr>
                <w:bCs/>
                <w:highlight w:val="white"/>
              </w:rPr>
            </w:pPr>
            <w:r w:rsidRPr="001A0ED3">
              <w:rPr>
                <w:bCs/>
                <w:highlight w:val="white"/>
              </w:rPr>
              <w:t xml:space="preserve">Once the </w:t>
            </w:r>
            <w:r>
              <w:rPr>
                <w:bCs/>
                <w:highlight w:val="white"/>
              </w:rPr>
              <w:t xml:space="preserve">professional formatting of the guidelines is complete, we plan to host versions of the finalised guidance on </w:t>
            </w:r>
            <w:proofErr w:type="spellStart"/>
            <w:r>
              <w:rPr>
                <w:bCs/>
                <w:highlight w:val="white"/>
              </w:rPr>
              <w:t>i</w:t>
            </w:r>
            <w:proofErr w:type="spellEnd"/>
            <w:r>
              <w:rPr>
                <w:bCs/>
                <w:highlight w:val="white"/>
              </w:rPr>
              <w:t xml:space="preserve">) the UKAN+ website ii) the </w:t>
            </w:r>
            <w:proofErr w:type="spellStart"/>
            <w:r>
              <w:rPr>
                <w:bCs/>
                <w:highlight w:val="white"/>
              </w:rPr>
              <w:t>Biorxiv</w:t>
            </w:r>
            <w:proofErr w:type="spellEnd"/>
            <w:r>
              <w:rPr>
                <w:bCs/>
                <w:highlight w:val="white"/>
              </w:rPr>
              <w:t xml:space="preserve"> repository iii) Carlos Abraham’s </w:t>
            </w:r>
            <w:proofErr w:type="spellStart"/>
            <w:r>
              <w:rPr>
                <w:bCs/>
                <w:highlight w:val="white"/>
              </w:rPr>
              <w:t>github</w:t>
            </w:r>
            <w:proofErr w:type="spellEnd"/>
            <w:r>
              <w:rPr>
                <w:bCs/>
                <w:highlight w:val="white"/>
              </w:rPr>
              <w:t xml:space="preserve"> page. There is a pdf of the unformatted document attached to the email accompanying this document.</w:t>
            </w:r>
          </w:p>
          <w:p w14:paraId="1728C7A1" w14:textId="77777777" w:rsidR="00FE32EF" w:rsidRDefault="00FE32EF">
            <w:pPr>
              <w:rPr>
                <w:b/>
                <w:highlight w:val="white"/>
              </w:rPr>
            </w:pPr>
          </w:p>
          <w:p w14:paraId="127F3825" w14:textId="77777777" w:rsidR="00FE32EF" w:rsidRDefault="00FE32EF">
            <w:pPr>
              <w:rPr>
                <w:b/>
                <w:highlight w:val="white"/>
              </w:rPr>
            </w:pPr>
          </w:p>
          <w:p w14:paraId="35998FF3" w14:textId="77777777" w:rsidR="00FE32EF" w:rsidRDefault="00FE32EF">
            <w:pPr>
              <w:rPr>
                <w:b/>
                <w:highlight w:val="white"/>
              </w:rPr>
            </w:pPr>
          </w:p>
          <w:p w14:paraId="5F343312" w14:textId="77777777" w:rsidR="00FE32EF" w:rsidRDefault="00FE32EF">
            <w:pPr>
              <w:rPr>
                <w:b/>
                <w:highlight w:val="white"/>
              </w:rPr>
            </w:pPr>
          </w:p>
        </w:tc>
      </w:tr>
      <w:bookmarkEnd w:id="0"/>
    </w:tbl>
    <w:p w14:paraId="150CA356" w14:textId="77777777" w:rsidR="00C470D3" w:rsidRDefault="00C470D3" w:rsidP="00082075"/>
    <w:sectPr w:rsidR="00C470D3" w:rsidSect="00FE32EF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CF12" w14:textId="77777777" w:rsidR="00FE7C36" w:rsidRDefault="00FE7C36">
      <w:pPr>
        <w:spacing w:before="0" w:after="0" w:line="240" w:lineRule="auto"/>
      </w:pPr>
      <w:r>
        <w:separator/>
      </w:r>
    </w:p>
  </w:endnote>
  <w:endnote w:type="continuationSeparator" w:id="0">
    <w:p w14:paraId="5A347975" w14:textId="77777777" w:rsidR="00FE7C36" w:rsidRDefault="00FE7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CDF5" w14:textId="77777777" w:rsidR="00FE7C36" w:rsidRDefault="00FE7C36">
      <w:pPr>
        <w:spacing w:before="0" w:after="0" w:line="240" w:lineRule="auto"/>
      </w:pPr>
      <w:r>
        <w:separator/>
      </w:r>
    </w:p>
  </w:footnote>
  <w:footnote w:type="continuationSeparator" w:id="0">
    <w:p w14:paraId="46F154D8" w14:textId="77777777" w:rsidR="00FE7C36" w:rsidRDefault="00FE7C36">
      <w:pPr>
        <w:spacing w:before="0" w:after="0" w:line="240" w:lineRule="auto"/>
      </w:pPr>
      <w:r>
        <w:continuationSeparator/>
      </w:r>
    </w:p>
  </w:footnote>
  <w:footnote w:id="1">
    <w:p w14:paraId="2D2BD692" w14:textId="77777777" w:rsidR="00C470D3" w:rsidRDefault="0005644D">
      <w:pPr>
        <w:spacing w:before="0" w:after="0" w:line="240" w:lineRule="auto"/>
        <w:rPr>
          <w:rFonts w:ascii="Cambria" w:eastAsia="Cambria" w:hAnsi="Cambria" w:cs="Cambria"/>
          <w:highlight w:val="white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highlight w:val="white"/>
        </w:rPr>
        <w:t xml:space="preserve"> As a UKRI award holder you must follow their research data policies- </w:t>
      </w:r>
      <w:hyperlink r:id="rId1">
        <w:r>
          <w:rPr>
            <w:rFonts w:ascii="Cambria" w:eastAsia="Cambria" w:hAnsi="Cambria" w:cs="Cambria"/>
            <w:color w:val="1155CC"/>
            <w:highlight w:val="white"/>
            <w:u w:val="single"/>
          </w:rPr>
          <w:t>https://www.ukri.org/manage-your-award/publishing-your-research-findings/making-your-research-data-open</w:t>
        </w:r>
      </w:hyperlink>
      <w:r>
        <w:rPr>
          <w:rFonts w:ascii="Cambria" w:eastAsia="Cambria" w:hAnsi="Cambria" w:cs="Cambria"/>
          <w:highlight w:val="whit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566A"/>
    <w:multiLevelType w:val="multilevel"/>
    <w:tmpl w:val="F76453E8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D3"/>
    <w:rsid w:val="0005644D"/>
    <w:rsid w:val="000627FE"/>
    <w:rsid w:val="00082075"/>
    <w:rsid w:val="000B0CEC"/>
    <w:rsid w:val="00101C5F"/>
    <w:rsid w:val="001A0ED3"/>
    <w:rsid w:val="00262A20"/>
    <w:rsid w:val="002B09B8"/>
    <w:rsid w:val="003E1C0B"/>
    <w:rsid w:val="005C0822"/>
    <w:rsid w:val="0077541A"/>
    <w:rsid w:val="00A34CAD"/>
    <w:rsid w:val="00B02298"/>
    <w:rsid w:val="00BA2148"/>
    <w:rsid w:val="00C470D3"/>
    <w:rsid w:val="00E416AC"/>
    <w:rsid w:val="00FC0F27"/>
    <w:rsid w:val="00FE32EF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9D04"/>
  <w15:docId w15:val="{8C086B25-2034-4D79-9BE7-F9903D6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86"/>
  </w:style>
  <w:style w:type="paragraph" w:styleId="Heading1">
    <w:name w:val="heading 1"/>
    <w:basedOn w:val="Normal"/>
    <w:next w:val="Normal"/>
    <w:link w:val="Heading1Char"/>
    <w:uiPriority w:val="9"/>
    <w:qFormat/>
    <w:rsid w:val="00AD28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88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88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88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88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88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8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8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288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288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D2886"/>
    <w:rPr>
      <w:caps/>
      <w:spacing w:val="15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22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D2886"/>
    <w:rPr>
      <w:caps/>
      <w:color w:val="243F60" w:themeColor="accent1" w:themeShade="7F"/>
      <w:spacing w:val="15"/>
    </w:rPr>
  </w:style>
  <w:style w:type="character" w:customStyle="1" w:styleId="HeaderChar">
    <w:name w:val="Header Char"/>
    <w:basedOn w:val="DefaultParagraphFont"/>
    <w:link w:val="Header"/>
    <w:uiPriority w:val="99"/>
    <w:rsid w:val="00226CAE"/>
  </w:style>
  <w:style w:type="paragraph" w:styleId="Footer">
    <w:name w:val="footer"/>
    <w:basedOn w:val="Normal"/>
    <w:link w:val="FooterChar"/>
    <w:uiPriority w:val="99"/>
    <w:unhideWhenUsed/>
    <w:rsid w:val="0022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AE"/>
  </w:style>
  <w:style w:type="paragraph" w:styleId="BalloonText">
    <w:name w:val="Balloon Text"/>
    <w:basedOn w:val="Normal"/>
    <w:link w:val="BalloonTextChar"/>
    <w:uiPriority w:val="99"/>
    <w:semiHidden/>
    <w:unhideWhenUsed/>
    <w:rsid w:val="0022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A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8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4208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26C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8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64B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0420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1384E"/>
    <w:pPr>
      <w:ind w:left="720"/>
      <w:contextualSpacing/>
    </w:pPr>
  </w:style>
  <w:style w:type="table" w:styleId="TableGrid">
    <w:name w:val="Table Grid"/>
    <w:basedOn w:val="TableNormal"/>
    <w:uiPriority w:val="59"/>
    <w:rsid w:val="0073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D2886"/>
    <w:rPr>
      <w:b/>
      <w:bCs/>
    </w:rPr>
  </w:style>
  <w:style w:type="table" w:styleId="LightGrid">
    <w:name w:val="Light Grid"/>
    <w:basedOn w:val="TableNormal"/>
    <w:uiPriority w:val="62"/>
    <w:rsid w:val="00021D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3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92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92"/>
    <w:rPr>
      <w:rFonts w:ascii="Gill Sans MT" w:hAnsi="Gill Sans M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D4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88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88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8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8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886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AD288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D288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D2886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D28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28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88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88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D288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D288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D288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D288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D2886"/>
    <w:rPr>
      <w:b/>
      <w:bCs/>
      <w:i/>
      <w:iCs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AD2886"/>
    <w:pPr>
      <w:spacing w:after="100"/>
      <w:ind w:left="200"/>
    </w:pPr>
  </w:style>
  <w:style w:type="table" w:customStyle="1" w:styleId="SQW">
    <w:name w:val="SQW"/>
    <w:basedOn w:val="TableNormal"/>
    <w:uiPriority w:val="99"/>
    <w:rsid w:val="00A50DE3"/>
    <w:pPr>
      <w:spacing w:before="0" w:after="0" w:line="240" w:lineRule="auto"/>
    </w:pPr>
    <w:rPr>
      <w:rFonts w:ascii="Cambria" w:eastAsia="Arial" w:hAnsi="Cambria" w:cs="Times New Roman"/>
      <w:szCs w:val="22"/>
      <w:lang w:val="id-ID"/>
    </w:rPr>
    <w:tblPr>
      <w:tblStyleRowBandSize w:val="1"/>
      <w:tblInd w:w="0" w:type="nil"/>
      <w:tblBorders>
        <w:insideV w:val="single" w:sz="8" w:space="0" w:color="9DA4A9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  <w:tl2br w:val="nil"/>
          <w:tr2bl w:val="nil"/>
        </w:tcBorders>
        <w:shd w:val="clear" w:color="auto" w:fill="DA291C"/>
      </w:tcPr>
    </w:tblStylePr>
  </w:style>
  <w:style w:type="paragraph" w:customStyle="1" w:styleId="TableBullet">
    <w:name w:val="Table Bullet"/>
    <w:basedOn w:val="Normal"/>
    <w:uiPriority w:val="14"/>
    <w:qFormat/>
    <w:rsid w:val="00A50DE3"/>
    <w:pPr>
      <w:numPr>
        <w:numId w:val="1"/>
      </w:numPr>
      <w:spacing w:before="0" w:after="0" w:line="260" w:lineRule="atLeast"/>
    </w:pPr>
    <w:rPr>
      <w:rFonts w:ascii="Cambria" w:eastAsia="Arial" w:hAnsi="Cambria" w:cs="Times New Roman"/>
      <w:szCs w:val="22"/>
    </w:rPr>
  </w:style>
  <w:style w:type="paragraph" w:customStyle="1" w:styleId="TableBullet2">
    <w:name w:val="Table Bullet 2"/>
    <w:basedOn w:val="Normal"/>
    <w:uiPriority w:val="14"/>
    <w:qFormat/>
    <w:rsid w:val="00A50DE3"/>
    <w:pPr>
      <w:numPr>
        <w:ilvl w:val="1"/>
        <w:numId w:val="1"/>
      </w:numPr>
      <w:spacing w:before="0" w:after="0" w:line="260" w:lineRule="atLeast"/>
    </w:pPr>
    <w:rPr>
      <w:rFonts w:ascii="Cambria" w:eastAsia="Arial" w:hAnsi="Cambria" w:cs="Times New Roman"/>
      <w:szCs w:val="22"/>
    </w:rPr>
  </w:style>
  <w:style w:type="table" w:customStyle="1" w:styleId="SQW1">
    <w:name w:val="SQW1"/>
    <w:basedOn w:val="TableNormal"/>
    <w:uiPriority w:val="99"/>
    <w:rsid w:val="00A50DE3"/>
    <w:pPr>
      <w:spacing w:before="0" w:after="0" w:line="240" w:lineRule="auto"/>
    </w:pPr>
    <w:rPr>
      <w:rFonts w:ascii="Cambria" w:eastAsia="Arial" w:hAnsi="Cambria" w:cs="Times New Roman"/>
      <w:szCs w:val="22"/>
      <w:lang w:val="id-ID"/>
    </w:rPr>
    <w:tblPr>
      <w:tblStyleRowBandSize w:val="1"/>
      <w:tblInd w:w="0" w:type="nil"/>
      <w:tblBorders>
        <w:insideV w:val="single" w:sz="8" w:space="0" w:color="9DA4A9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  <w:tl2br w:val="nil"/>
          <w:tr2bl w:val="nil"/>
        </w:tcBorders>
        <w:shd w:val="clear" w:color="auto" w:fill="DA291C"/>
      </w:tcPr>
    </w:tblStylePr>
  </w:style>
  <w:style w:type="numbering" w:customStyle="1" w:styleId="SQWTableBullets">
    <w:name w:val="SQW Table Bullets"/>
    <w:uiPriority w:val="99"/>
    <w:rsid w:val="00A50DE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243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8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f4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tcBorders>
          <w:top w:val="nil"/>
          <w:left w:val="single" w:sz="4" w:space="0" w:color="DA291C"/>
          <w:bottom w:val="nil"/>
          <w:right w:val="nil"/>
          <w:insideH w:val="single" w:sz="4" w:space="0" w:color="9DA4A9"/>
          <w:insideV w:val="single" w:sz="8" w:space="0" w:color="9DA4A9"/>
        </w:tcBorders>
        <w:shd w:val="clear" w:color="auto" w:fill="DA291C"/>
      </w:tcPr>
    </w:tblStylePr>
  </w:style>
  <w:style w:type="table" w:customStyle="1" w:styleId="af5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before="0"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C0F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34CA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34CAD"/>
    <w:rPr>
      <w:rFonts w:ascii="Arial" w:eastAsia="Arial" w:hAnsi="Arial" w:cs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ri.org/manage-your-award/publishing-your-research-find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oustics.ac.uk/wp-content/uploads/2022/07/Blogpost-on-the-development-of-best-practice-guidelines-for-long-term-ecoacoustic-monitoring-of-UK-biodiversity-and-the-UKAN-Monitoring-Biodiversity-Symposium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ri.org/manage-your-award/publishing-your-research-findings/making-your-research-data-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f2kIm979RjeZRb6PIS9LM+6Vw==">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Rogers (ESRC, RPI)</dc:creator>
  <cp:lastModifiedBy>Oliver Metcalf</cp:lastModifiedBy>
  <cp:revision>2</cp:revision>
  <dcterms:created xsi:type="dcterms:W3CDTF">2022-12-23T15:42:00Z</dcterms:created>
  <dcterms:modified xsi:type="dcterms:W3CDTF">2022-12-23T15:42:00Z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0x01010056310623A2AADA44970F4EA404853872</vt:lpwstr>
  </property>
  <property fmtid="{D5CDD505-2E9C-101B-9397-08002B2CF9AE}" pid="3" name="_dlc_DocIdItemGuid">
    <vt:lpwstr>39f6818b-f4f7-4ed3-9aae-4f172244bee5</vt:lpwstr>
  </property>
</Properties>
</file>